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EEE461" w14:textId="77777777" w:rsidR="00995140" w:rsidRPr="00D66AA5" w:rsidRDefault="00995140" w:rsidP="00D66AA5">
      <w:pPr>
        <w:spacing w:after="0" w:line="276" w:lineRule="auto"/>
        <w:rPr>
          <w:rFonts w:cstheme="minorHAnsi"/>
        </w:rPr>
      </w:pPr>
      <w:bookmarkStart w:id="0" w:name="_Hlk40273902"/>
    </w:p>
    <w:p w14:paraId="1FBC2F70" w14:textId="77777777" w:rsidR="00995140" w:rsidRPr="00D66AA5" w:rsidRDefault="00995140" w:rsidP="00D66AA5">
      <w:pPr>
        <w:spacing w:after="0" w:line="276" w:lineRule="auto"/>
        <w:rPr>
          <w:rFonts w:cstheme="minorHAnsi"/>
        </w:rPr>
      </w:pPr>
    </w:p>
    <w:p w14:paraId="6835B676" w14:textId="77777777" w:rsidR="00D66AA5" w:rsidRPr="00D66AA5" w:rsidRDefault="00D66AA5" w:rsidP="00D66AA5">
      <w:pPr>
        <w:widowControl w:val="0"/>
        <w:pBdr>
          <w:bottom w:val="single" w:sz="12" w:space="1" w:color="auto"/>
        </w:pBdr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  <w:bookmarkStart w:id="1" w:name="_Hlk19185333"/>
      <w:bookmarkEnd w:id="1"/>
    </w:p>
    <w:p w14:paraId="6FA5C101" w14:textId="77777777" w:rsidR="00D66AA5" w:rsidRPr="00D66AA5" w:rsidRDefault="00D66AA5" w:rsidP="00D66AA5">
      <w:pPr>
        <w:widowControl w:val="0"/>
        <w:pBdr>
          <w:bottom w:val="single" w:sz="12" w:space="1" w:color="auto"/>
        </w:pBdr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</w:p>
    <w:p w14:paraId="44EA3208" w14:textId="77777777" w:rsidR="00D66AA5" w:rsidRPr="00D66AA5" w:rsidRDefault="00D66AA5" w:rsidP="00D66AA5">
      <w:pPr>
        <w:widowControl w:val="0"/>
        <w:pBdr>
          <w:bottom w:val="single" w:sz="12" w:space="1" w:color="auto"/>
        </w:pBdr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</w:p>
    <w:p w14:paraId="678E41AF" w14:textId="77777777" w:rsidR="00D66AA5" w:rsidRPr="00D66AA5" w:rsidRDefault="00D66AA5" w:rsidP="00D66AA5">
      <w:pPr>
        <w:widowControl w:val="0"/>
        <w:pBdr>
          <w:bottom w:val="single" w:sz="12" w:space="1" w:color="auto"/>
        </w:pBdr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</w:p>
    <w:p w14:paraId="577ABC2D" w14:textId="77777777" w:rsidR="00D66AA5" w:rsidRPr="00D66AA5" w:rsidRDefault="00D66AA5" w:rsidP="00D66AA5">
      <w:pPr>
        <w:widowControl w:val="0"/>
        <w:pBdr>
          <w:bottom w:val="single" w:sz="12" w:space="1" w:color="auto"/>
        </w:pBdr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</w:p>
    <w:p w14:paraId="1A91EFE1" w14:textId="77777777" w:rsidR="00D66AA5" w:rsidRPr="00D66AA5" w:rsidRDefault="00D66AA5" w:rsidP="00D66AA5">
      <w:pPr>
        <w:widowControl w:val="0"/>
        <w:pBdr>
          <w:bottom w:val="single" w:sz="12" w:space="1" w:color="auto"/>
        </w:pBdr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</w:p>
    <w:p w14:paraId="6BAC42EF" w14:textId="77777777" w:rsidR="00D66AA5" w:rsidRPr="00D66AA5" w:rsidRDefault="00D66AA5" w:rsidP="00D66AA5">
      <w:pPr>
        <w:widowControl w:val="0"/>
        <w:pBdr>
          <w:bottom w:val="single" w:sz="12" w:space="1" w:color="auto"/>
        </w:pBdr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</w:p>
    <w:p w14:paraId="4A90AD81" w14:textId="77777777" w:rsidR="00D66AA5" w:rsidRPr="00D66AA5" w:rsidRDefault="00D66AA5" w:rsidP="00D66AA5">
      <w:pPr>
        <w:widowControl w:val="0"/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</w:p>
    <w:p w14:paraId="2B5D103F" w14:textId="0017DB40" w:rsidR="00D66AA5" w:rsidRPr="00D66AA5" w:rsidRDefault="00D66AA5" w:rsidP="00D66AA5">
      <w:pPr>
        <w:widowControl w:val="0"/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  <w:r w:rsidRPr="00D66AA5">
        <w:rPr>
          <w:rFonts w:eastAsia="Calibri" w:cstheme="minorHAnsi"/>
          <w:b/>
          <w:lang w:eastAsia="es-MX"/>
        </w:rPr>
        <w:t>ANEXO 1.</w:t>
      </w:r>
      <w:r w:rsidR="00C40891">
        <w:rPr>
          <w:rFonts w:eastAsia="Calibri" w:cstheme="minorHAnsi"/>
          <w:b/>
          <w:lang w:eastAsia="es-MX"/>
        </w:rPr>
        <w:t>5</w:t>
      </w:r>
    </w:p>
    <w:p w14:paraId="2C450752" w14:textId="62CBE292" w:rsidR="00D66AA5" w:rsidRPr="00D66AA5" w:rsidRDefault="00D66AA5" w:rsidP="00D66AA5">
      <w:pPr>
        <w:widowControl w:val="0"/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  <w:r w:rsidRPr="00D66AA5">
        <w:rPr>
          <w:rFonts w:eastAsia="Calibri" w:cstheme="minorHAnsi"/>
          <w:b/>
          <w:lang w:eastAsia="es-MX"/>
        </w:rPr>
        <w:t xml:space="preserve">FORMATO DE </w:t>
      </w:r>
      <w:r>
        <w:rPr>
          <w:rFonts w:eastAsia="Calibri" w:cstheme="minorHAnsi"/>
          <w:b/>
          <w:lang w:eastAsia="es-MX"/>
        </w:rPr>
        <w:t xml:space="preserve">GARANTÍA DE </w:t>
      </w:r>
      <w:r w:rsidR="00C40891">
        <w:rPr>
          <w:rFonts w:eastAsia="Calibri" w:cstheme="minorHAnsi"/>
          <w:b/>
          <w:lang w:eastAsia="es-MX"/>
        </w:rPr>
        <w:t>VICIOS OCULTOS</w:t>
      </w:r>
    </w:p>
    <w:p w14:paraId="6F36A4BC" w14:textId="77777777" w:rsidR="00D66AA5" w:rsidRPr="00D66AA5" w:rsidRDefault="00D66AA5" w:rsidP="00D66AA5">
      <w:pPr>
        <w:widowControl w:val="0"/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</w:p>
    <w:p w14:paraId="1E5AB93C" w14:textId="4C632161" w:rsidR="00D66AA5" w:rsidRPr="00D66AA5" w:rsidRDefault="6524C660" w:rsidP="6524C660">
      <w:pPr>
        <w:spacing w:after="0" w:line="276" w:lineRule="auto"/>
        <w:contextualSpacing/>
        <w:jc w:val="both"/>
      </w:pPr>
      <w:bookmarkStart w:id="2" w:name="_Hlk40266468"/>
      <w:r w:rsidRPr="6524C660">
        <w:t>Al modelo de contrato de adquisición de bienes (el “</w:t>
      </w:r>
      <w:r w:rsidRPr="6524C660">
        <w:rPr>
          <w:u w:val="single"/>
        </w:rPr>
        <w:t>Contrato</w:t>
      </w:r>
      <w:r w:rsidRPr="6524C660">
        <w:t xml:space="preserve">”) que celebran, por una </w:t>
      </w:r>
      <w:r w:rsidR="00C371B3" w:rsidRPr="6524C660">
        <w:t>parte,</w:t>
      </w:r>
      <w:r w:rsidRPr="6524C660">
        <w:t xml:space="preserve"> Nacional Financiera, S.N.C., Institución de Banca de Desarrollo como fiduciaria del Fideicomiso Denominado Fondo Nacional de Fomento al Turismo (como “</w:t>
      </w:r>
      <w:r w:rsidRPr="6524C660">
        <w:rPr>
          <w:u w:val="single"/>
        </w:rPr>
        <w:t>Entidad Contratante</w:t>
      </w:r>
      <w:r w:rsidRPr="6524C660">
        <w:t>”) y [•] (como “</w:t>
      </w:r>
      <w:r w:rsidRPr="6524C660">
        <w:rPr>
          <w:u w:val="single"/>
        </w:rPr>
        <w:t>Proveedor</w:t>
      </w:r>
      <w:r w:rsidRPr="6524C660">
        <w:t>”, y de manera conjunta e indistinta con la entidad contratante, las “</w:t>
      </w:r>
      <w:r w:rsidRPr="6524C660">
        <w:rPr>
          <w:u w:val="single"/>
        </w:rPr>
        <w:t>Partes</w:t>
      </w:r>
      <w:r w:rsidRPr="6524C660">
        <w:t xml:space="preserve">”) celebrado el 05 de </w:t>
      </w:r>
      <w:r w:rsidR="00C371B3" w:rsidRPr="6524C660">
        <w:t xml:space="preserve">[•] </w:t>
      </w:r>
      <w:r w:rsidRPr="6524C660">
        <w:t>de 2020.</w:t>
      </w:r>
    </w:p>
    <w:bookmarkEnd w:id="2"/>
    <w:p w14:paraId="1980ECDE" w14:textId="77777777" w:rsidR="00D66AA5" w:rsidRPr="00D66AA5" w:rsidRDefault="00D66AA5" w:rsidP="00D66AA5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cstheme="minorHAnsi"/>
          <w:bCs/>
        </w:rPr>
      </w:pPr>
    </w:p>
    <w:p w14:paraId="020BD1BA" w14:textId="77777777" w:rsidR="00D66AA5" w:rsidRPr="00D66AA5" w:rsidRDefault="00D66AA5" w:rsidP="00D66AA5">
      <w:pPr>
        <w:spacing w:after="0" w:line="276" w:lineRule="auto"/>
        <w:contextualSpacing/>
        <w:jc w:val="both"/>
        <w:rPr>
          <w:rFonts w:eastAsia="Calibri" w:cstheme="minorHAnsi"/>
          <w:b/>
          <w:lang w:eastAsia="es-MX"/>
        </w:rPr>
      </w:pPr>
    </w:p>
    <w:p w14:paraId="1A796E37" w14:textId="77777777" w:rsidR="00D66AA5" w:rsidRPr="00D66AA5" w:rsidRDefault="00D66AA5" w:rsidP="00D66AA5">
      <w:pPr>
        <w:spacing w:after="0" w:line="276" w:lineRule="auto"/>
        <w:jc w:val="center"/>
        <w:rPr>
          <w:rFonts w:cstheme="minorHAnsi"/>
          <w:b/>
          <w:bCs/>
        </w:rPr>
      </w:pPr>
      <w:r w:rsidRPr="00D66AA5">
        <w:rPr>
          <w:rFonts w:cstheme="minorHAnsi"/>
          <w:b/>
          <w:bCs/>
        </w:rPr>
        <w:br w:type="page"/>
      </w:r>
    </w:p>
    <w:p w14:paraId="5D6369E1" w14:textId="76505621" w:rsidR="00995140" w:rsidRPr="00D66AA5" w:rsidRDefault="00995140" w:rsidP="00D66AA5">
      <w:pPr>
        <w:spacing w:after="0" w:line="276" w:lineRule="auto"/>
        <w:contextualSpacing/>
        <w:jc w:val="center"/>
        <w:rPr>
          <w:rFonts w:cstheme="minorHAnsi"/>
          <w:b/>
        </w:rPr>
      </w:pPr>
      <w:r w:rsidRPr="00D66AA5">
        <w:rPr>
          <w:rFonts w:cstheme="minorHAnsi"/>
          <w:b/>
        </w:rPr>
        <w:lastRenderedPageBreak/>
        <w:t xml:space="preserve">GARANTÍA DE </w:t>
      </w:r>
      <w:r w:rsidR="00606D2C">
        <w:rPr>
          <w:rFonts w:cstheme="minorHAnsi"/>
          <w:b/>
        </w:rPr>
        <w:t>VICIOS OCULTOS</w:t>
      </w:r>
    </w:p>
    <w:p w14:paraId="79EA1983" w14:textId="77777777" w:rsidR="00995140" w:rsidRPr="00D66AA5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</w:p>
    <w:p w14:paraId="37C53C32" w14:textId="49E7D3D3" w:rsidR="00995140" w:rsidRPr="00D66AA5" w:rsidRDefault="003129AE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>Afianzadora [</w:t>
      </w:r>
      <w:r w:rsidRPr="003129AE">
        <w:rPr>
          <w:rFonts w:ascii="Symbol" w:eastAsia="Symbol" w:hAnsi="Symbol" w:cstheme="minorHAnsi"/>
          <w:lang w:eastAsia="es-MX"/>
        </w:rPr>
        <w:t>·</w:t>
      </w:r>
      <w:r w:rsidRPr="00D66AA5">
        <w:rPr>
          <w:rFonts w:cstheme="minorHAnsi"/>
          <w:lang w:eastAsia="es-MX"/>
        </w:rPr>
        <w:t xml:space="preserve">], en uso de la autorización que le fue otorgada por la Secretaría de Hacienda y Crédito Público, se constituye fiadora hasta por la cantidad de </w:t>
      </w:r>
      <w:r>
        <w:rPr>
          <w:rFonts w:cstheme="minorHAnsi"/>
          <w:lang w:eastAsia="es-MX"/>
        </w:rPr>
        <w:t>MXN</w:t>
      </w:r>
      <w:r w:rsidRPr="00D66AA5">
        <w:rPr>
          <w:rFonts w:cstheme="minorHAnsi"/>
          <w:lang w:eastAsia="es-MX"/>
        </w:rPr>
        <w:t>$[</w:t>
      </w:r>
      <w:r w:rsidRPr="003129AE">
        <w:rPr>
          <w:rFonts w:ascii="Symbol" w:eastAsia="Symbol" w:hAnsi="Symbol" w:cstheme="minorHAnsi"/>
          <w:lang w:eastAsia="es-MX"/>
        </w:rPr>
        <w:t>·</w:t>
      </w:r>
      <w:r w:rsidRPr="00D66AA5">
        <w:rPr>
          <w:rFonts w:cstheme="minorHAnsi"/>
          <w:lang w:eastAsia="es-MX"/>
        </w:rPr>
        <w:t>] ([</w:t>
      </w:r>
      <w:r w:rsidRPr="003129AE">
        <w:rPr>
          <w:rFonts w:ascii="Symbol" w:eastAsia="Symbol" w:hAnsi="Symbol" w:cstheme="minorHAnsi"/>
          <w:lang w:eastAsia="es-MX"/>
        </w:rPr>
        <w:t>·</w:t>
      </w:r>
      <w:r w:rsidRPr="00D66AA5">
        <w:rPr>
          <w:rFonts w:cstheme="minorHAnsi"/>
          <w:lang w:eastAsia="es-MX"/>
        </w:rPr>
        <w:t xml:space="preserve">] Pesos 00/100 </w:t>
      </w:r>
      <w:r>
        <w:rPr>
          <w:rFonts w:cstheme="minorHAnsi"/>
          <w:lang w:eastAsia="es-MX"/>
        </w:rPr>
        <w:t>moneda de curso legal en los Estados Unidos Mexicanos</w:t>
      </w:r>
      <w:r w:rsidRPr="00D66AA5">
        <w:rPr>
          <w:rFonts w:cstheme="minorHAnsi"/>
          <w:lang w:eastAsia="es-MX"/>
        </w:rPr>
        <w:t>)</w:t>
      </w:r>
      <w:r>
        <w:rPr>
          <w:rFonts w:cstheme="minorHAnsi"/>
          <w:lang w:eastAsia="es-MX"/>
        </w:rPr>
        <w:t xml:space="preserve"> </w:t>
      </w:r>
      <w:r w:rsidRPr="00D66AA5">
        <w:rPr>
          <w:rFonts w:cstheme="minorHAnsi"/>
          <w:lang w:eastAsia="es-MX"/>
        </w:rPr>
        <w:t>a favor de Nacional Financiera, S.N.C., Institución de Banca de Desarrollo como fiduciaria en el fideicomiso denominado Fondo Nacional de Fomento al Turismo.</w:t>
      </w:r>
    </w:p>
    <w:p w14:paraId="24A309C8" w14:textId="77777777" w:rsidR="00995140" w:rsidRPr="00D66AA5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</w:p>
    <w:p w14:paraId="1DBB104E" w14:textId="2ABA781A" w:rsidR="00995140" w:rsidRPr="003129AE" w:rsidRDefault="796A628B" w:rsidP="796A6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lang w:eastAsia="es-MX"/>
        </w:rPr>
      </w:pPr>
      <w:r w:rsidRPr="796A628B">
        <w:rPr>
          <w:lang w:eastAsia="es-MX"/>
        </w:rPr>
        <w:t>Para garantizar por [</w:t>
      </w:r>
      <w:r w:rsidRPr="796A628B">
        <w:rPr>
          <w:rFonts w:ascii="Symbol" w:eastAsia="Symbol" w:hAnsi="Symbol"/>
          <w:lang w:eastAsia="es-MX"/>
        </w:rPr>
        <w:t>·</w:t>
      </w:r>
      <w:r w:rsidRPr="796A628B">
        <w:rPr>
          <w:lang w:eastAsia="es-MX"/>
        </w:rPr>
        <w:t>], con domicilio en [</w:t>
      </w:r>
      <w:r w:rsidRPr="796A628B">
        <w:rPr>
          <w:rFonts w:ascii="Symbol" w:eastAsia="Symbol" w:hAnsi="Symbol"/>
          <w:lang w:eastAsia="es-MX"/>
        </w:rPr>
        <w:t>·</w:t>
      </w:r>
      <w:r w:rsidRPr="796A628B">
        <w:rPr>
          <w:lang w:eastAsia="es-MX"/>
        </w:rPr>
        <w:t>] (el “</w:t>
      </w:r>
      <w:r w:rsidRPr="796A628B">
        <w:rPr>
          <w:u w:val="single"/>
          <w:lang w:eastAsia="es-MX"/>
        </w:rPr>
        <w:t>Proveedor</w:t>
      </w:r>
      <w:r w:rsidRPr="796A628B">
        <w:rPr>
          <w:lang w:eastAsia="es-MX"/>
        </w:rPr>
        <w:t>”), los vicios ocultos de los Bienes (según dicho término se define en el Contrato) en términos del contrato de adquisición de bienes número [</w:t>
      </w:r>
      <w:r w:rsidRPr="796A628B">
        <w:rPr>
          <w:rFonts w:ascii="Symbol" w:eastAsia="Symbol" w:hAnsi="Symbol"/>
          <w:lang w:eastAsia="es-MX"/>
        </w:rPr>
        <w:t>·</w:t>
      </w:r>
      <w:r w:rsidRPr="796A628B">
        <w:rPr>
          <w:lang w:eastAsia="es-MX"/>
        </w:rPr>
        <w:t>], de fecha 05 de noviembre</w:t>
      </w:r>
      <w:r w:rsidRPr="796A628B">
        <w:rPr>
          <w:rFonts w:ascii="Symbol" w:eastAsia="Symbol" w:hAnsi="Symbol"/>
          <w:lang w:eastAsia="es-MX"/>
        </w:rPr>
        <w:t xml:space="preserve"> </w:t>
      </w:r>
      <w:r w:rsidRPr="796A628B">
        <w:rPr>
          <w:lang w:eastAsia="es-MX"/>
        </w:rPr>
        <w:t xml:space="preserve">de 2020, teniendo por objeto la </w:t>
      </w:r>
      <w:r w:rsidR="004C19FF">
        <w:rPr>
          <w:rFonts w:cstheme="minorHAnsi"/>
          <w:bCs/>
          <w:i/>
          <w:iCs/>
          <w:lang w:eastAsia="es-ES"/>
        </w:rPr>
        <w:t>A</w:t>
      </w:r>
      <w:r w:rsidR="004C19FF" w:rsidRPr="004C19FF">
        <w:rPr>
          <w:rFonts w:cstheme="minorHAnsi"/>
          <w:bCs/>
          <w:i/>
          <w:iCs/>
          <w:lang w:eastAsia="es-ES"/>
        </w:rPr>
        <w:t xml:space="preserve">dquisición y suministro de </w:t>
      </w:r>
      <w:r w:rsidR="00C371B3">
        <w:rPr>
          <w:rFonts w:cstheme="minorHAnsi"/>
          <w:bCs/>
          <w:i/>
          <w:iCs/>
          <w:lang w:eastAsia="es-ES"/>
        </w:rPr>
        <w:t>30,481.75</w:t>
      </w:r>
      <w:r w:rsidR="004C19FF" w:rsidRPr="004C19FF">
        <w:rPr>
          <w:rFonts w:cstheme="minorHAnsi"/>
          <w:bCs/>
          <w:i/>
          <w:iCs/>
          <w:lang w:eastAsia="es-ES"/>
        </w:rPr>
        <w:t xml:space="preserve"> 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C371B3">
        <w:rPr>
          <w:rFonts w:cstheme="minorHAnsi"/>
          <w:bCs/>
          <w:i/>
          <w:iCs/>
          <w:lang w:eastAsia="es-ES"/>
        </w:rPr>
        <w:t>1</w:t>
      </w:r>
      <w:r w:rsidR="004C19FF" w:rsidRPr="004C19FF">
        <w:rPr>
          <w:rFonts w:cstheme="minorHAnsi"/>
          <w:bCs/>
          <w:i/>
          <w:iCs/>
          <w:lang w:eastAsia="es-ES"/>
        </w:rPr>
        <w:t xml:space="preserve"> del Tren Maya</w:t>
      </w:r>
      <w:r w:rsidRPr="796A628B">
        <w:t>” (el “</w:t>
      </w:r>
      <w:r w:rsidRPr="796A628B">
        <w:rPr>
          <w:u w:val="single"/>
          <w:lang w:eastAsia="es-MX"/>
        </w:rPr>
        <w:t>Contrato</w:t>
      </w:r>
      <w:r w:rsidRPr="796A628B">
        <w:rPr>
          <w:lang w:eastAsia="es-MX"/>
        </w:rPr>
        <w:t>”), con importe de MXN$[</w:t>
      </w:r>
      <w:r w:rsidRPr="796A628B">
        <w:rPr>
          <w:rFonts w:ascii="Symbol" w:eastAsia="Symbol" w:hAnsi="Symbol"/>
          <w:lang w:eastAsia="es-MX"/>
        </w:rPr>
        <w:t>·</w:t>
      </w:r>
      <w:r w:rsidRPr="796A628B">
        <w:rPr>
          <w:lang w:eastAsia="es-MX"/>
        </w:rPr>
        <w:t>] ([</w:t>
      </w:r>
      <w:r w:rsidRPr="796A628B">
        <w:rPr>
          <w:rFonts w:ascii="Symbol" w:eastAsia="Symbol" w:hAnsi="Symbol"/>
          <w:lang w:eastAsia="es-MX"/>
        </w:rPr>
        <w:t>·</w:t>
      </w:r>
      <w:r w:rsidRPr="796A628B">
        <w:rPr>
          <w:lang w:eastAsia="es-MX"/>
        </w:rPr>
        <w:t>] de Pesos 00/100 moneda de curso legal en los Estados Unidos Mexicanos) más el Impuesto al Valor Agregado correspondiente.</w:t>
      </w:r>
      <w:bookmarkStart w:id="3" w:name="_Hlk40167649"/>
      <w:bookmarkEnd w:id="3"/>
    </w:p>
    <w:p w14:paraId="2C6D413A" w14:textId="77777777" w:rsidR="00995140" w:rsidRPr="003129AE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</w:p>
    <w:p w14:paraId="766C0D15" w14:textId="1C6F7069" w:rsidR="00995140" w:rsidRPr="00D66AA5" w:rsidRDefault="003129AE" w:rsidP="00D66AA5">
      <w:pPr>
        <w:spacing w:after="0" w:line="276" w:lineRule="auto"/>
        <w:jc w:val="both"/>
        <w:rPr>
          <w:rFonts w:cstheme="minorHAnsi"/>
          <w:lang w:eastAsia="es-MX"/>
        </w:rPr>
      </w:pPr>
      <w:r>
        <w:rPr>
          <w:rFonts w:cstheme="minorHAnsi"/>
          <w:lang w:eastAsia="es-MX"/>
        </w:rPr>
        <w:t xml:space="preserve">En consideración de lo anterior, </w:t>
      </w:r>
      <w:r w:rsidRPr="00D66AA5">
        <w:rPr>
          <w:rFonts w:cstheme="minorHAnsi"/>
          <w:lang w:eastAsia="es-MX"/>
        </w:rPr>
        <w:t>afianzadora [</w:t>
      </w:r>
      <w:r w:rsidRPr="003129AE">
        <w:rPr>
          <w:rFonts w:ascii="Symbol" w:eastAsia="Symbol" w:hAnsi="Symbol" w:cstheme="minorHAnsi"/>
          <w:lang w:eastAsia="es-MX"/>
        </w:rPr>
        <w:t>·</w:t>
      </w:r>
      <w:r w:rsidRPr="00D66AA5">
        <w:rPr>
          <w:rFonts w:cstheme="minorHAnsi"/>
          <w:lang w:eastAsia="es-MX"/>
        </w:rPr>
        <w:t>], acepta expresamente</w:t>
      </w:r>
      <w:r>
        <w:rPr>
          <w:rFonts w:cstheme="minorHAnsi"/>
          <w:lang w:eastAsia="es-MX"/>
        </w:rPr>
        <w:t xml:space="preserve"> que</w:t>
      </w:r>
      <w:r w:rsidRPr="00D66AA5">
        <w:rPr>
          <w:rFonts w:cstheme="minorHAnsi"/>
          <w:lang w:eastAsia="es-MX"/>
        </w:rPr>
        <w:t>:</w:t>
      </w:r>
    </w:p>
    <w:p w14:paraId="2A3ED59E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4795D2F5" w14:textId="47AC48D2" w:rsidR="00995140" w:rsidRPr="003129AE" w:rsidRDefault="70E17868" w:rsidP="70E17868">
      <w:pPr>
        <w:pStyle w:val="Prrafodelista"/>
        <w:numPr>
          <w:ilvl w:val="0"/>
          <w:numId w:val="1"/>
        </w:numPr>
        <w:spacing w:after="0" w:line="276" w:lineRule="auto"/>
        <w:ind w:left="567" w:right="79" w:hanging="567"/>
        <w:jc w:val="both"/>
        <w:rPr>
          <w:lang w:eastAsia="es-MX"/>
        </w:rPr>
      </w:pPr>
      <w:r w:rsidRPr="70E17868">
        <w:rPr>
          <w:lang w:eastAsia="es-MX"/>
        </w:rPr>
        <w:t>Se expide a favor de Nacional Financiera, S.N.C., Institución de Banca de Desarrollo como fiduciaria en el fideicomiso denominado Fondo Nacional de Fomento al Turismo (“</w:t>
      </w:r>
      <w:r w:rsidRPr="70E17868">
        <w:rPr>
          <w:u w:val="single"/>
          <w:lang w:eastAsia="es-MX"/>
        </w:rPr>
        <w:t>FONATUR</w:t>
      </w:r>
      <w:r w:rsidRPr="70E17868">
        <w:rPr>
          <w:lang w:eastAsia="es-MX"/>
        </w:rPr>
        <w:t>”), y que se otorga atendiendo a todas las estipulaciones establecidas en el Contrato.</w:t>
      </w:r>
    </w:p>
    <w:p w14:paraId="59CAE28F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61734244" w14:textId="77777777" w:rsidR="003129AE" w:rsidRDefault="003129AE" w:rsidP="003129AE">
      <w:pPr>
        <w:pStyle w:val="Prrafodelista"/>
        <w:numPr>
          <w:ilvl w:val="0"/>
          <w:numId w:val="1"/>
        </w:numPr>
        <w:spacing w:after="0" w:line="276" w:lineRule="auto"/>
        <w:ind w:left="567" w:right="79" w:hanging="567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 xml:space="preserve">Para ser liberada la fianza será requisito indispensable la manifestación expresa y por escrito de </w:t>
      </w:r>
      <w:r>
        <w:rPr>
          <w:rFonts w:cstheme="minorHAnsi"/>
          <w:lang w:eastAsia="es-MX"/>
        </w:rPr>
        <w:t>FONATUR</w:t>
      </w:r>
      <w:r w:rsidRPr="00D66AA5">
        <w:rPr>
          <w:rFonts w:cstheme="minorHAnsi"/>
          <w:lang w:eastAsia="es-MX"/>
        </w:rPr>
        <w:t xml:space="preserve"> </w:t>
      </w:r>
      <w:r>
        <w:rPr>
          <w:rFonts w:cstheme="minorHAnsi"/>
          <w:lang w:eastAsia="es-MX"/>
        </w:rPr>
        <w:t>en la que se haga constar el debido y</w:t>
      </w:r>
      <w:r w:rsidRPr="00D66AA5">
        <w:rPr>
          <w:rFonts w:cstheme="minorHAnsi"/>
          <w:lang w:eastAsia="es-MX"/>
        </w:rPr>
        <w:t xml:space="preserve"> total </w:t>
      </w:r>
      <w:r>
        <w:rPr>
          <w:rFonts w:cstheme="minorHAnsi"/>
          <w:lang w:eastAsia="es-MX"/>
        </w:rPr>
        <w:t xml:space="preserve">cumplimiento </w:t>
      </w:r>
      <w:r w:rsidRPr="00D66AA5">
        <w:rPr>
          <w:rFonts w:cstheme="minorHAnsi"/>
          <w:lang w:eastAsia="es-MX"/>
        </w:rPr>
        <w:t xml:space="preserve">de las obligaciones </w:t>
      </w:r>
      <w:r>
        <w:rPr>
          <w:rFonts w:cstheme="minorHAnsi"/>
          <w:lang w:eastAsia="es-MX"/>
        </w:rPr>
        <w:t>a cargo del Proveedor en términos del Contrato</w:t>
      </w:r>
      <w:r w:rsidRPr="00D66AA5">
        <w:rPr>
          <w:rFonts w:cstheme="minorHAnsi"/>
          <w:lang w:eastAsia="es-MX"/>
        </w:rPr>
        <w:t>.</w:t>
      </w:r>
    </w:p>
    <w:p w14:paraId="1DC2152E" w14:textId="77777777" w:rsidR="003129AE" w:rsidRPr="003129AE" w:rsidRDefault="003129AE" w:rsidP="003129AE">
      <w:pPr>
        <w:pStyle w:val="Prrafodelista"/>
        <w:rPr>
          <w:rFonts w:cstheme="minorHAnsi"/>
          <w:lang w:eastAsia="es-MX"/>
        </w:rPr>
      </w:pPr>
    </w:p>
    <w:p w14:paraId="7CDE2467" w14:textId="77777777" w:rsidR="003129AE" w:rsidRDefault="003129AE" w:rsidP="003129AE">
      <w:pPr>
        <w:pStyle w:val="Prrafodelista"/>
        <w:numPr>
          <w:ilvl w:val="0"/>
          <w:numId w:val="1"/>
        </w:numPr>
        <w:spacing w:after="0" w:line="276" w:lineRule="auto"/>
        <w:ind w:left="567" w:right="79" w:hanging="567"/>
        <w:jc w:val="both"/>
        <w:rPr>
          <w:rFonts w:cstheme="minorHAnsi"/>
          <w:lang w:eastAsia="es-MX"/>
        </w:rPr>
      </w:pPr>
      <w:r>
        <w:rPr>
          <w:rFonts w:cstheme="minorHAnsi"/>
          <w:lang w:eastAsia="es-MX"/>
        </w:rPr>
        <w:t>L</w:t>
      </w:r>
      <w:r w:rsidRPr="003129AE">
        <w:rPr>
          <w:rFonts w:cstheme="minorHAnsi"/>
          <w:lang w:eastAsia="es-MX"/>
        </w:rPr>
        <w:t>a fianza permanecerá vigente durante el cumplimiento de la obligación que garantice y continuará vigente en caso de que se otorgue prórroga al cumplimiento del Contrato, así como durante la sustanciación de todos los recursos legales o de los juicios que se interpongan y hasta que se dicte resolución definitiva por autoridad competente que quede firme, salvo que las partes se otorguen finiquito.</w:t>
      </w:r>
    </w:p>
    <w:p w14:paraId="7127886A" w14:textId="77777777" w:rsidR="003129AE" w:rsidRPr="003129AE" w:rsidRDefault="003129AE" w:rsidP="003129AE">
      <w:pPr>
        <w:pStyle w:val="Prrafodelista"/>
        <w:rPr>
          <w:rFonts w:cstheme="minorHAnsi"/>
          <w:lang w:eastAsia="es-MX"/>
        </w:rPr>
      </w:pPr>
    </w:p>
    <w:p w14:paraId="0F8D3677" w14:textId="77777777" w:rsidR="003129AE" w:rsidRDefault="003129AE" w:rsidP="003129AE">
      <w:pPr>
        <w:pStyle w:val="Prrafodelista"/>
        <w:numPr>
          <w:ilvl w:val="0"/>
          <w:numId w:val="1"/>
        </w:numPr>
        <w:spacing w:after="0" w:line="276" w:lineRule="auto"/>
        <w:ind w:left="567" w:right="79" w:hanging="567"/>
        <w:jc w:val="both"/>
        <w:rPr>
          <w:rFonts w:cstheme="minorHAnsi"/>
          <w:lang w:eastAsia="es-MX"/>
        </w:rPr>
      </w:pPr>
      <w:r>
        <w:rPr>
          <w:rFonts w:cstheme="minorHAnsi"/>
          <w:lang w:eastAsia="es-MX"/>
        </w:rPr>
        <w:t>L</w:t>
      </w:r>
      <w:r w:rsidRPr="003129AE">
        <w:rPr>
          <w:rFonts w:cstheme="minorHAnsi"/>
          <w:lang w:eastAsia="es-MX"/>
        </w:rPr>
        <w:t>a afianzadora acepta expresamente someterse a los procedimientos de ejecución previstos en los artículos 282 y 283 de la Ley de Instituciones de Seguros y de Fianzas, aún para el caso de que procediera el cobro de indemnización por mora, con motivo del pago extemporáneo del importe de la póliza de fianza requerida.</w:t>
      </w:r>
    </w:p>
    <w:p w14:paraId="376F38FD" w14:textId="77777777" w:rsidR="003129AE" w:rsidRPr="003129AE" w:rsidRDefault="003129AE" w:rsidP="003129AE">
      <w:pPr>
        <w:pStyle w:val="Prrafodelista"/>
        <w:rPr>
          <w:rFonts w:cstheme="minorHAnsi"/>
          <w:lang w:eastAsia="es-MX"/>
        </w:rPr>
      </w:pPr>
    </w:p>
    <w:p w14:paraId="37A097E4" w14:textId="77777777" w:rsidR="003129AE" w:rsidRDefault="003129AE" w:rsidP="003129AE">
      <w:pPr>
        <w:pStyle w:val="Prrafodelista"/>
        <w:numPr>
          <w:ilvl w:val="0"/>
          <w:numId w:val="1"/>
        </w:numPr>
        <w:spacing w:after="0" w:line="276" w:lineRule="auto"/>
        <w:ind w:left="567" w:right="79" w:hanging="567"/>
        <w:jc w:val="both"/>
        <w:rPr>
          <w:rFonts w:cstheme="minorHAnsi"/>
          <w:lang w:eastAsia="es-MX"/>
        </w:rPr>
      </w:pPr>
      <w:r>
        <w:rPr>
          <w:rFonts w:cstheme="minorHAnsi"/>
          <w:lang w:eastAsia="es-MX"/>
        </w:rPr>
        <w:t>E</w:t>
      </w:r>
      <w:r w:rsidRPr="003129AE">
        <w:rPr>
          <w:rFonts w:cstheme="minorHAnsi"/>
          <w:lang w:eastAsia="es-MX"/>
        </w:rPr>
        <w:t xml:space="preserve">sta fianza permanecerá en vigor durante la sustanciación de todos los recursos legales y se somete expresamente al procedimiento de ejecución establecido en los artículos 178 y 282 </w:t>
      </w:r>
      <w:r w:rsidRPr="003129AE">
        <w:rPr>
          <w:rFonts w:cstheme="minorHAnsi"/>
          <w:lang w:eastAsia="es-MX"/>
        </w:rPr>
        <w:lastRenderedPageBreak/>
        <w:t>de la Ley de Instituciones de Seguros y de Fianzas en vigor, asimismo renuncian al derecho que les otorga el artículo 179 de la citada ley.</w:t>
      </w:r>
    </w:p>
    <w:p w14:paraId="26EFD5A1" w14:textId="77777777" w:rsidR="003129AE" w:rsidRPr="003129AE" w:rsidRDefault="003129AE" w:rsidP="003129AE">
      <w:pPr>
        <w:pStyle w:val="Prrafodelista"/>
        <w:rPr>
          <w:rFonts w:cstheme="minorHAnsi"/>
          <w:lang w:eastAsia="es-MX"/>
        </w:rPr>
      </w:pPr>
    </w:p>
    <w:p w14:paraId="3CC2212C" w14:textId="418024B8" w:rsidR="00995140" w:rsidRPr="003129AE" w:rsidRDefault="003129AE" w:rsidP="003129AE">
      <w:pPr>
        <w:pStyle w:val="Prrafodelista"/>
        <w:numPr>
          <w:ilvl w:val="0"/>
          <w:numId w:val="1"/>
        </w:numPr>
        <w:spacing w:after="0" w:line="276" w:lineRule="auto"/>
        <w:ind w:left="567" w:right="79" w:hanging="567"/>
        <w:jc w:val="both"/>
        <w:rPr>
          <w:rFonts w:cstheme="minorHAnsi"/>
          <w:lang w:eastAsia="es-MX"/>
        </w:rPr>
      </w:pPr>
      <w:r>
        <w:rPr>
          <w:rFonts w:cstheme="minorHAnsi"/>
          <w:lang w:eastAsia="es-MX"/>
        </w:rPr>
        <w:t>E</w:t>
      </w:r>
      <w:r w:rsidRPr="003129AE">
        <w:rPr>
          <w:rFonts w:cstheme="minorHAnsi"/>
          <w:lang w:eastAsia="es-MX"/>
        </w:rPr>
        <w:t xml:space="preserve">n caso de prórrogas o esperas al Proveedor derivadas de la formalización de convenios de ampliación al monto o al plazo del </w:t>
      </w:r>
      <w:r w:rsidR="00CE7BA3" w:rsidRPr="003129AE">
        <w:rPr>
          <w:rFonts w:cstheme="minorHAnsi"/>
          <w:lang w:eastAsia="es-MX"/>
        </w:rPr>
        <w:t>Contrato</w:t>
      </w:r>
      <w:r w:rsidRPr="003129AE">
        <w:rPr>
          <w:rFonts w:cstheme="minorHAnsi"/>
          <w:lang w:eastAsia="es-MX"/>
        </w:rPr>
        <w:t>, deberá realizar la modificación correspondiente a la fianza.</w:t>
      </w:r>
    </w:p>
    <w:p w14:paraId="7E7F67ED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78C2F238" w14:textId="4E31CEBF" w:rsidR="00995140" w:rsidRPr="00D66AA5" w:rsidRDefault="00CE7BA3" w:rsidP="00D66AA5">
      <w:pPr>
        <w:spacing w:after="0" w:line="276" w:lineRule="auto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 xml:space="preserve">Esta </w:t>
      </w:r>
      <w:r w:rsidR="003129AE" w:rsidRPr="00D66AA5">
        <w:rPr>
          <w:rFonts w:cstheme="minorHAnsi"/>
          <w:lang w:eastAsia="es-MX"/>
        </w:rPr>
        <w:t xml:space="preserve">fianza se mantendrá vigente </w:t>
      </w:r>
      <w:r w:rsidR="008C1AFE">
        <w:rPr>
          <w:rFonts w:cstheme="minorHAnsi"/>
          <w:lang w:eastAsia="es-MX"/>
        </w:rPr>
        <w:t>por un período</w:t>
      </w:r>
      <w:r>
        <w:rPr>
          <w:rFonts w:cstheme="minorHAnsi"/>
          <w:lang w:eastAsia="es-MX"/>
        </w:rPr>
        <w:t xml:space="preserve"> </w:t>
      </w:r>
      <w:r w:rsidR="00606D2C">
        <w:rPr>
          <w:rFonts w:cstheme="minorHAnsi"/>
          <w:lang w:eastAsia="es-MX"/>
        </w:rPr>
        <w:t xml:space="preserve">de 120 (meses) siguientes a la entrega de la totalidad de los Bienes de conformidad con las disposiciones contenidas en </w:t>
      </w:r>
      <w:r w:rsidR="008C1AFE">
        <w:rPr>
          <w:rFonts w:cstheme="minorHAnsi"/>
          <w:lang w:eastAsia="es-MX"/>
        </w:rPr>
        <w:t xml:space="preserve">el </w:t>
      </w:r>
      <w:r>
        <w:rPr>
          <w:rFonts w:cstheme="minorHAnsi"/>
          <w:lang w:eastAsia="es-MX"/>
        </w:rPr>
        <w:t>Contrato</w:t>
      </w:r>
      <w:r w:rsidR="003129AE" w:rsidRPr="00D66AA5">
        <w:rPr>
          <w:rFonts w:cstheme="minorHAnsi"/>
          <w:lang w:eastAsia="es-MX"/>
        </w:rPr>
        <w:t>.</w:t>
      </w:r>
    </w:p>
    <w:p w14:paraId="69D349C0" w14:textId="77777777" w:rsidR="00995140" w:rsidRPr="00D66AA5" w:rsidRDefault="00995140" w:rsidP="00D66AA5">
      <w:pPr>
        <w:spacing w:after="0" w:line="276" w:lineRule="auto"/>
        <w:rPr>
          <w:rFonts w:cstheme="minorHAnsi"/>
        </w:rPr>
      </w:pPr>
    </w:p>
    <w:p w14:paraId="69C12AE1" w14:textId="1097A8BC" w:rsidR="00995140" w:rsidRPr="00D66AA5" w:rsidRDefault="003129AE" w:rsidP="00D66AA5">
      <w:pPr>
        <w:spacing w:after="0" w:line="276" w:lineRule="auto"/>
        <w:rPr>
          <w:rFonts w:cstheme="minorHAnsi"/>
        </w:rPr>
      </w:pPr>
      <w:r w:rsidRPr="00D66AA5">
        <w:rPr>
          <w:rFonts w:cstheme="minorHAnsi"/>
        </w:rPr>
        <w:br w:type="page"/>
      </w:r>
    </w:p>
    <w:p w14:paraId="6541813F" w14:textId="77777777" w:rsidR="00995140" w:rsidRPr="00D66AA5" w:rsidRDefault="00995140" w:rsidP="00D66AA5">
      <w:pPr>
        <w:spacing w:after="0" w:line="276" w:lineRule="auto"/>
        <w:rPr>
          <w:rFonts w:cstheme="minorHAnsi"/>
        </w:rPr>
      </w:pPr>
    </w:p>
    <w:p w14:paraId="1D083B96" w14:textId="35F8E60F" w:rsidR="00995140" w:rsidRPr="00D66AA5" w:rsidRDefault="00995140" w:rsidP="00D66AA5">
      <w:pPr>
        <w:spacing w:after="0" w:line="276" w:lineRule="auto"/>
        <w:contextualSpacing/>
        <w:jc w:val="center"/>
        <w:rPr>
          <w:rFonts w:cstheme="minorHAnsi"/>
          <w:b/>
        </w:rPr>
      </w:pPr>
      <w:r w:rsidRPr="00D66AA5">
        <w:rPr>
          <w:rFonts w:cstheme="minorHAnsi"/>
          <w:b/>
        </w:rPr>
        <w:t xml:space="preserve">GARANTÍA DE </w:t>
      </w:r>
      <w:r w:rsidR="007070B1" w:rsidRPr="00D66AA5">
        <w:rPr>
          <w:rFonts w:cstheme="minorHAnsi"/>
          <w:b/>
        </w:rPr>
        <w:t xml:space="preserve">VICIOS </w:t>
      </w:r>
      <w:r w:rsidRPr="00D66AA5">
        <w:rPr>
          <w:rFonts w:cstheme="minorHAnsi"/>
          <w:b/>
        </w:rPr>
        <w:t>O</w:t>
      </w:r>
      <w:r w:rsidR="007070B1" w:rsidRPr="00D66AA5">
        <w:rPr>
          <w:rFonts w:cstheme="minorHAnsi"/>
          <w:b/>
        </w:rPr>
        <w:t>CULTOS</w:t>
      </w:r>
    </w:p>
    <w:p w14:paraId="5FE299F8" w14:textId="77777777" w:rsidR="00995140" w:rsidRPr="00D66AA5" w:rsidRDefault="00995140" w:rsidP="00D66AA5">
      <w:pPr>
        <w:spacing w:after="0" w:line="276" w:lineRule="auto"/>
        <w:contextualSpacing/>
        <w:jc w:val="center"/>
        <w:rPr>
          <w:rFonts w:cstheme="minorHAnsi"/>
          <w:b/>
        </w:rPr>
      </w:pPr>
    </w:p>
    <w:p w14:paraId="1339ACF1" w14:textId="77777777" w:rsidR="00995140" w:rsidRPr="00D66AA5" w:rsidRDefault="00995140" w:rsidP="00D66AA5">
      <w:pPr>
        <w:spacing w:after="0" w:line="276" w:lineRule="auto"/>
        <w:contextualSpacing/>
        <w:jc w:val="center"/>
        <w:rPr>
          <w:rFonts w:cstheme="minorHAnsi"/>
          <w:b/>
        </w:rPr>
      </w:pPr>
      <w:r w:rsidRPr="00D66AA5">
        <w:rPr>
          <w:rFonts w:cstheme="minorHAnsi"/>
          <w:b/>
        </w:rPr>
        <w:t>FORMATO DE FIANZA</w:t>
      </w:r>
    </w:p>
    <w:p w14:paraId="26AC57F8" w14:textId="77777777" w:rsidR="00995140" w:rsidRPr="00D66AA5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</w:p>
    <w:p w14:paraId="3CB78455" w14:textId="77777777" w:rsidR="00995140" w:rsidRPr="00D66AA5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>AFIANZADORA [*], EN USO DE LA AUTORIZACIÓN QUE LE FUE OTORGADA POR LA SECRETARÍA DE HACIENDA Y CRÉDITO PÚBLICO, SE CONSTITUYE FIADORA HASTA POR LA CANTIDAD DE $[*] ([*] PESOS 00/100 M.N.)</w:t>
      </w:r>
    </w:p>
    <w:p w14:paraId="675C9668" w14:textId="77777777" w:rsidR="00995140" w:rsidRPr="00D66AA5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</w:p>
    <w:p w14:paraId="6602F257" w14:textId="77777777" w:rsidR="00995140" w:rsidRPr="00D66AA5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>A FAVOR DE NACIONAL FINANCIERA, S.N.C., INSTITUCIÓN DE BANCA DE DESARROLLO COMO FIDUCIARIA EN EL FIDEICOMISO DENOMINADO FONDO NACIONAL DE FOMENTO AL TURISMO.</w:t>
      </w:r>
    </w:p>
    <w:p w14:paraId="1A17D64A" w14:textId="77777777" w:rsidR="00995140" w:rsidRPr="00D66AA5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</w:p>
    <w:p w14:paraId="1F8490D4" w14:textId="255C4643" w:rsidR="00995140" w:rsidRPr="00D66AA5" w:rsidRDefault="796A628B" w:rsidP="796A6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lang w:eastAsia="es-MX"/>
        </w:rPr>
      </w:pPr>
      <w:r w:rsidRPr="796A628B">
        <w:rPr>
          <w:lang w:eastAsia="es-MX"/>
        </w:rPr>
        <w:t>PARA GARANTIZAR POR [*], CON DOMICILIO EN [*], LOS VICIOS OCULTOS POR EL [*]% ([*] POR CIENTO) DEL MONTO TOTAL SIN INCLUIR IVA DEL CONTRATO DE ADQUISICIÓN DE BIENES NO. [*], DE FECHA 05 DE NOVIEMBRE DE 2020, TENIENDO POR OBJETO “[*]” (LOS “</w:t>
      </w:r>
      <w:r w:rsidRPr="796A628B">
        <w:rPr>
          <w:u w:val="single"/>
          <w:lang w:eastAsia="es-MX"/>
        </w:rPr>
        <w:t>BIENES</w:t>
      </w:r>
      <w:r w:rsidRPr="796A628B">
        <w:rPr>
          <w:lang w:eastAsia="es-MX"/>
        </w:rPr>
        <w:t>”), CON IMPORTE DE $[*] ([*] DE PESOS 00/100 M.N.) MÁS EL IMPUESTO AL VALOR AGREGADO.</w:t>
      </w:r>
    </w:p>
    <w:p w14:paraId="3BB4D47B" w14:textId="77777777" w:rsidR="00995140" w:rsidRPr="00D66AA5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</w:p>
    <w:p w14:paraId="234846C1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>AFIANZADORA [*], ACEPTA EXPRESAMENTE:</w:t>
      </w:r>
    </w:p>
    <w:p w14:paraId="26CF2C50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74E3B680" w14:textId="77777777" w:rsidR="00995140" w:rsidRPr="00D66AA5" w:rsidRDefault="00995140" w:rsidP="00D66AA5">
      <w:pPr>
        <w:spacing w:after="0" w:line="276" w:lineRule="auto"/>
        <w:ind w:right="79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>A) QUE SE EXPIDE A FAVOR DE NACIONAL FINANCIERA, S.N.C., INSTITUCIÓN DE BANCA DE DESARROLLO COMO FIDUCIARIA EN EL FIDEICOMISO DENOMINADO FONDO NACIONAL DE FOMENTO AL TURISMO, Y QUE SE OTORGA ATENDIENDO A TODAS LAS ESTIPULACIONES ESTABLECIDAS EN EL CONTRATO NO. [*].</w:t>
      </w:r>
    </w:p>
    <w:p w14:paraId="5EDD4A9A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6A83EAC2" w14:textId="77777777" w:rsidR="00995140" w:rsidRPr="00D66AA5" w:rsidRDefault="00995140" w:rsidP="00D66AA5">
      <w:pPr>
        <w:spacing w:after="0" w:line="276" w:lineRule="auto"/>
        <w:ind w:right="84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>B) QUE PARA SER LIBERADA LA FIANZA SERÁ REQUISITO INDISPENSABLE LA MANIFESTACIÓN EXPRESA Y POR ESCRITO DE “EL FONATUR” DEL CUMPLIMIENTO TOTAL DE LAS OBLIGACIONES CONTRACTUALES.</w:t>
      </w:r>
    </w:p>
    <w:p w14:paraId="61D1F522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4EB5FF54" w14:textId="7FFD6266" w:rsidR="00995140" w:rsidRPr="00D66AA5" w:rsidRDefault="00995140" w:rsidP="00D66AA5">
      <w:pPr>
        <w:spacing w:after="0" w:line="276" w:lineRule="auto"/>
        <w:ind w:right="80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 xml:space="preserve">C) QUE LA FIANZA PERMANECERÁ VIGENTE DURANTE </w:t>
      </w:r>
      <w:r w:rsidR="007070B1" w:rsidRPr="00D66AA5">
        <w:rPr>
          <w:rFonts w:cstheme="minorHAnsi"/>
          <w:lang w:eastAsia="es-MX"/>
        </w:rPr>
        <w:t>LOS 120 (CIENTO VEINTE) MESES SIGUIENTES A LA ENTREGA DE LOS BIENES</w:t>
      </w:r>
      <w:r w:rsidRPr="00D66AA5">
        <w:rPr>
          <w:rFonts w:cstheme="minorHAnsi"/>
          <w:lang w:eastAsia="es-MX"/>
        </w:rPr>
        <w:t xml:space="preserve"> Y CONTINUARÁ VIGENTE EN CASO DE QUE SE OTORGUE PRÓRROGA AL CUMPLIMIENTO DEL CONTRATO NO. [*], ASÍ COMO DURANTE LA SUSTANCIACIÓN DE TODOS LOS RECURSOS LEGALES O DE LOS JUICIOS QUE SE INTERPONGAN Y HASTA QUE SE DICTE RESOLUCIÓN DEFINITIVA POR AUTORIDAD COMPETENTE QUE QUEDE FIRME, SALVO QUE LAS PARTES SE OTORGUEN FINIQUITO.</w:t>
      </w:r>
    </w:p>
    <w:p w14:paraId="37111B86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2659ADA3" w14:textId="77777777" w:rsidR="00995140" w:rsidRPr="00D66AA5" w:rsidRDefault="00995140" w:rsidP="00D66AA5">
      <w:pPr>
        <w:spacing w:after="0" w:line="276" w:lineRule="auto"/>
        <w:ind w:right="84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>D) QUE LA AFIANZADORA ACEPTA EXPRESAMENTE SOMETERSE A LOS PROCEDIMIENTOS DE EJECUCIÓN PREVISTOS EN LOS ARTÍCULOS 282 Y 283 DE LA LEY DE INSTITUCIONES DE SEGUROS Y DE FIANZAS, AÚN PARA EL CASO DE QUE PROCEDIERA EL COBRO DE INDEMNIZACIÓN POR MORA, CON MOTIVO DEL PAGO EXTEMPORÁNEO DEL IMPORTE DE LA PÓLIZA DE FIANZA REQUERIDA.</w:t>
      </w:r>
    </w:p>
    <w:p w14:paraId="59670467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6020DA7A" w14:textId="77777777" w:rsidR="00995140" w:rsidRPr="00D66AA5" w:rsidRDefault="00995140" w:rsidP="00D66AA5">
      <w:pPr>
        <w:spacing w:after="0" w:line="276" w:lineRule="auto"/>
        <w:ind w:right="77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lastRenderedPageBreak/>
        <w:t>E) ESTA FIANZA PERMANECERÁ EN VIGOR DURANTE LA SUSTANCIACIÓN DE TODOS LOS RECURSOS LEGALES Y SE SOMETE EXPRESAMENTE AL PROCEDIMIENTO DE EJECUCIÓN ESTABLECIDO EN LOS ARTÍCULOS 178 Y 282 DE LA LEY DE INSTITUCIONES DE SEGUROS Y DE FIANZAS EN VIGOR, ASIMISMO RENUNCIAN AL DERECHO QUE LES OTORGA EL ARTÍCULO 179 DE LA CITADA LEY.</w:t>
      </w:r>
    </w:p>
    <w:p w14:paraId="676A6C36" w14:textId="77777777" w:rsidR="00995140" w:rsidRPr="00D66AA5" w:rsidRDefault="00995140" w:rsidP="00D66AA5">
      <w:pPr>
        <w:spacing w:after="0" w:line="276" w:lineRule="auto"/>
        <w:ind w:right="77"/>
        <w:jc w:val="both"/>
        <w:rPr>
          <w:rFonts w:cstheme="minorHAnsi"/>
          <w:lang w:eastAsia="es-MX"/>
        </w:rPr>
      </w:pPr>
    </w:p>
    <w:p w14:paraId="597C79A3" w14:textId="77777777" w:rsidR="00995140" w:rsidRPr="00D66AA5" w:rsidRDefault="00995140" w:rsidP="00D66AA5">
      <w:pPr>
        <w:tabs>
          <w:tab w:val="left" w:pos="820"/>
        </w:tabs>
        <w:spacing w:after="0" w:line="276" w:lineRule="auto"/>
        <w:ind w:right="77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>F) EN CASO DE PRÓRROGAS O ESPERAS A “EL PROVEEDOR”, DERIVADAS DE LA FORMALIZACIÓN DE CONVENIOS DE AMPLIACIÓN AL MONTO O AL PLAZO DEL CONTRATO NO. [*], DEBERÁ REALIZAR LA MODIFICACIÓN CORRESPONDIENTE A LA FIANZA.</w:t>
      </w:r>
    </w:p>
    <w:p w14:paraId="1753505D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723EB3B5" w14:textId="12D87771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 xml:space="preserve">ESTA FIANZA SE MANTENDRÁ VIGENTE </w:t>
      </w:r>
      <w:r w:rsidR="007070B1" w:rsidRPr="00D66AA5">
        <w:rPr>
          <w:rFonts w:cstheme="minorHAnsi"/>
          <w:lang w:eastAsia="es-MX"/>
        </w:rPr>
        <w:t>DURANTE LOS 120 (CIENTO VEINTE) MESES SIGUIENTES A LA ENTREGA DE LOS BIENES</w:t>
      </w:r>
      <w:r w:rsidRPr="00D66AA5">
        <w:rPr>
          <w:rFonts w:cstheme="minorHAnsi"/>
          <w:lang w:eastAsia="es-MX"/>
        </w:rPr>
        <w:t>.</w:t>
      </w:r>
    </w:p>
    <w:bookmarkEnd w:id="0"/>
    <w:p w14:paraId="6A81223C" w14:textId="77777777" w:rsidR="00995140" w:rsidRPr="00D66AA5" w:rsidRDefault="00995140" w:rsidP="00D66AA5">
      <w:pPr>
        <w:spacing w:after="0" w:line="276" w:lineRule="auto"/>
        <w:rPr>
          <w:rFonts w:cstheme="minorHAnsi"/>
        </w:rPr>
      </w:pPr>
    </w:p>
    <w:sectPr w:rsidR="00995140" w:rsidRPr="00D66AA5" w:rsidSect="00C371B3">
      <w:headerReference w:type="default" r:id="rId7"/>
      <w:footerReference w:type="default" r:id="rId8"/>
      <w:headerReference w:type="first" r:id="rId9"/>
      <w:pgSz w:w="12240" w:h="15840"/>
      <w:pgMar w:top="1417" w:right="1701" w:bottom="1417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9EC62A" w14:textId="77777777" w:rsidR="008F04D0" w:rsidRDefault="008F04D0">
      <w:pPr>
        <w:spacing w:after="0" w:line="240" w:lineRule="auto"/>
      </w:pPr>
      <w:r>
        <w:separator/>
      </w:r>
    </w:p>
  </w:endnote>
  <w:endnote w:type="continuationSeparator" w:id="0">
    <w:p w14:paraId="751E1A78" w14:textId="77777777" w:rsidR="008F04D0" w:rsidRDefault="008F0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8997135"/>
      <w:docPartObj>
        <w:docPartGallery w:val="Page Numbers (Bottom of Page)"/>
        <w:docPartUnique/>
      </w:docPartObj>
    </w:sdtPr>
    <w:sdtEndPr/>
    <w:sdtContent>
      <w:p w14:paraId="22EC0154" w14:textId="77777777" w:rsidR="005422E9" w:rsidRDefault="00113A6A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52FBB84D" w14:textId="77777777" w:rsidR="005422E9" w:rsidRDefault="008F04D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773E6" w14:textId="77777777" w:rsidR="008F04D0" w:rsidRDefault="008F04D0">
      <w:pPr>
        <w:spacing w:after="0" w:line="240" w:lineRule="auto"/>
      </w:pPr>
      <w:r>
        <w:separator/>
      </w:r>
    </w:p>
  </w:footnote>
  <w:footnote w:type="continuationSeparator" w:id="0">
    <w:p w14:paraId="7CDB66EE" w14:textId="77777777" w:rsidR="008F04D0" w:rsidRDefault="008F0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271F8" w14:textId="06EA9E6F" w:rsidR="007070B1" w:rsidRPr="0099244F" w:rsidRDefault="00C371B3" w:rsidP="007070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</w:rPr>
    </w:pPr>
    <w:r>
      <w:rPr>
        <w:rFonts w:ascii="Verdana" w:eastAsia="Verdana" w:hAnsi="Verdana" w:cs="Verdana"/>
        <w:b/>
        <w:color w:val="000000"/>
        <w:sz w:val="18"/>
        <w:szCs w:val="18"/>
      </w:rPr>
      <w:t xml:space="preserve">Proyecto de </w:t>
    </w:r>
    <w:r w:rsidR="007070B1" w:rsidRPr="0099244F">
      <w:rPr>
        <w:rFonts w:ascii="Verdana" w:eastAsia="Verdana" w:hAnsi="Verdana" w:cs="Verdana"/>
        <w:b/>
        <w:color w:val="000000"/>
        <w:sz w:val="18"/>
        <w:szCs w:val="18"/>
      </w:rPr>
      <w:t xml:space="preserve">Convocatoria | </w:t>
    </w:r>
    <w:r w:rsidR="007070B1">
      <w:rPr>
        <w:noProof/>
        <w:lang w:eastAsia="es-MX"/>
      </w:rPr>
      <w:drawing>
        <wp:anchor distT="0" distB="0" distL="114300" distR="114300" simplePos="0" relativeHeight="251663360" behindDoc="0" locked="0" layoutInCell="1" hidden="0" allowOverlap="1" wp14:anchorId="2053C773" wp14:editId="4917493D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7070B1">
      <w:rPr>
        <w:rFonts w:ascii="Verdana" w:eastAsia="Verdana" w:hAnsi="Verdana" w:cs="Verdana"/>
        <w:b/>
        <w:color w:val="000000"/>
        <w:sz w:val="18"/>
        <w:szCs w:val="18"/>
      </w:rPr>
      <w:t>Bases de Licitación</w:t>
    </w:r>
  </w:p>
  <w:p w14:paraId="4FDB04CB" w14:textId="5E2A0B62" w:rsidR="007070B1" w:rsidRPr="00EA12C9" w:rsidRDefault="007070B1" w:rsidP="007070B1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</w:rPr>
      <w:t xml:space="preserve">Licitación Pública </w:t>
    </w:r>
    <w:r>
      <w:rPr>
        <w:rFonts w:ascii="Verdana" w:eastAsia="Verdana" w:hAnsi="Verdana" w:cs="Verdana"/>
        <w:b/>
        <w:color w:val="000000"/>
        <w:sz w:val="18"/>
        <w:szCs w:val="18"/>
      </w:rPr>
      <w:t>Inter</w:t>
    </w:r>
    <w:r w:rsidRPr="0099244F">
      <w:rPr>
        <w:rFonts w:ascii="Verdana" w:eastAsia="Verdana" w:hAnsi="Verdana" w:cs="Verdana"/>
        <w:b/>
        <w:color w:val="000000"/>
        <w:sz w:val="18"/>
        <w:szCs w:val="18"/>
      </w:rPr>
      <w:t xml:space="preserve">nacional </w:t>
    </w:r>
    <w:r>
      <w:rPr>
        <w:rFonts w:ascii="Verdana" w:eastAsia="Verdana" w:hAnsi="Verdana" w:cs="Verdana"/>
        <w:b/>
        <w:color w:val="000000"/>
        <w:sz w:val="18"/>
        <w:szCs w:val="18"/>
      </w:rPr>
      <w:t xml:space="preserve">Abierta </w:t>
    </w:r>
    <w:r w:rsidRPr="0099244F">
      <w:rPr>
        <w:rFonts w:ascii="Verdana" w:eastAsia="Verdana" w:hAnsi="Verdana" w:cs="Verdana"/>
        <w:b/>
        <w:color w:val="000000"/>
        <w:sz w:val="18"/>
        <w:szCs w:val="18"/>
      </w:rPr>
      <w:t xml:space="preserve">No. </w:t>
    </w:r>
    <w:r w:rsidR="00C371B3" w:rsidRPr="6524C660">
      <w:t>[•]</w:t>
    </w:r>
  </w:p>
  <w:p w14:paraId="588B46C8" w14:textId="62B1331B" w:rsidR="00A900C3" w:rsidRPr="0099244F" w:rsidRDefault="008F04D0" w:rsidP="007070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</w:rPr>
    </w:pPr>
  </w:p>
  <w:p w14:paraId="72275C5E" w14:textId="77777777" w:rsidR="00A900C3" w:rsidRDefault="008F04D0" w:rsidP="00A900C3">
    <w:pPr>
      <w:pStyle w:val="Encabezado"/>
    </w:pPr>
  </w:p>
  <w:p w14:paraId="6B0F69B2" w14:textId="77777777" w:rsidR="00077335" w:rsidRDefault="008F04D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96DD8" w14:textId="2CF2628C" w:rsidR="007070B1" w:rsidRPr="0099244F" w:rsidRDefault="00C371B3" w:rsidP="007070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</w:rPr>
    </w:pPr>
    <w:proofErr w:type="spellStart"/>
    <w:r>
      <w:rPr>
        <w:rFonts w:ascii="Verdana" w:eastAsia="Verdana" w:hAnsi="Verdana" w:cs="Verdana"/>
        <w:b/>
        <w:color w:val="000000"/>
        <w:sz w:val="18"/>
        <w:szCs w:val="18"/>
      </w:rPr>
      <w:t>Pro</w:t>
    </w:r>
    <w:r w:rsidR="007070B1" w:rsidRPr="0099244F">
      <w:rPr>
        <w:rFonts w:ascii="Verdana" w:eastAsia="Verdana" w:hAnsi="Verdana" w:cs="Verdana"/>
        <w:b/>
        <w:color w:val="000000"/>
        <w:sz w:val="18"/>
        <w:szCs w:val="18"/>
      </w:rPr>
      <w:t>Convocatoria</w:t>
    </w:r>
    <w:proofErr w:type="spellEnd"/>
    <w:r w:rsidR="007070B1" w:rsidRPr="0099244F">
      <w:rPr>
        <w:rFonts w:ascii="Verdana" w:eastAsia="Verdana" w:hAnsi="Verdana" w:cs="Verdana"/>
        <w:b/>
        <w:color w:val="000000"/>
        <w:sz w:val="18"/>
        <w:szCs w:val="18"/>
      </w:rPr>
      <w:t xml:space="preserve"> | </w:t>
    </w:r>
    <w:r w:rsidR="007070B1">
      <w:rPr>
        <w:noProof/>
        <w:lang w:eastAsia="es-MX"/>
      </w:rPr>
      <w:drawing>
        <wp:anchor distT="0" distB="0" distL="114300" distR="114300" simplePos="0" relativeHeight="251661312" behindDoc="0" locked="0" layoutInCell="1" hidden="0" allowOverlap="1" wp14:anchorId="21B44158" wp14:editId="1B3B9414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7070B1">
      <w:rPr>
        <w:rFonts w:ascii="Verdana" w:eastAsia="Verdana" w:hAnsi="Verdana" w:cs="Verdana"/>
        <w:b/>
        <w:color w:val="000000"/>
        <w:sz w:val="18"/>
        <w:szCs w:val="18"/>
      </w:rPr>
      <w:t>Bases de Licitación</w:t>
    </w:r>
  </w:p>
  <w:p w14:paraId="4FD7B7D5" w14:textId="593EA992" w:rsidR="007070B1" w:rsidRPr="00EA12C9" w:rsidRDefault="007070B1" w:rsidP="007070B1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</w:rPr>
      <w:t xml:space="preserve">Licitación Pública </w:t>
    </w:r>
    <w:r>
      <w:rPr>
        <w:rFonts w:ascii="Verdana" w:eastAsia="Verdana" w:hAnsi="Verdana" w:cs="Verdana"/>
        <w:b/>
        <w:color w:val="000000"/>
        <w:sz w:val="18"/>
        <w:szCs w:val="18"/>
      </w:rPr>
      <w:t>Inter</w:t>
    </w:r>
    <w:r w:rsidRPr="0099244F">
      <w:rPr>
        <w:rFonts w:ascii="Verdana" w:eastAsia="Verdana" w:hAnsi="Verdana" w:cs="Verdana"/>
        <w:b/>
        <w:color w:val="000000"/>
        <w:sz w:val="18"/>
        <w:szCs w:val="18"/>
      </w:rPr>
      <w:t xml:space="preserve">nacional </w:t>
    </w:r>
    <w:r>
      <w:rPr>
        <w:rFonts w:ascii="Verdana" w:eastAsia="Verdana" w:hAnsi="Verdana" w:cs="Verdana"/>
        <w:b/>
        <w:color w:val="000000"/>
        <w:sz w:val="18"/>
        <w:szCs w:val="18"/>
      </w:rPr>
      <w:t xml:space="preserve">Abierta </w:t>
    </w:r>
    <w:r w:rsidRPr="0099244F">
      <w:rPr>
        <w:rFonts w:ascii="Verdana" w:eastAsia="Verdana" w:hAnsi="Verdana" w:cs="Verdana"/>
        <w:b/>
        <w:color w:val="000000"/>
        <w:sz w:val="18"/>
        <w:szCs w:val="18"/>
      </w:rPr>
      <w:t xml:space="preserve">No. </w:t>
    </w:r>
    <w:r w:rsidR="00684DF6" w:rsidRPr="00ED6638">
      <w:rPr>
        <w:rFonts w:ascii="Verdana" w:eastAsia="Verdana" w:hAnsi="Verdana" w:cs="Verdana"/>
        <w:b/>
        <w:color w:val="000000"/>
        <w:sz w:val="18"/>
        <w:szCs w:val="18"/>
      </w:rPr>
      <w:t>LA-021W3N003-E228-2020</w:t>
    </w:r>
  </w:p>
  <w:p w14:paraId="14C44D67" w14:textId="19171A52" w:rsidR="005422E9" w:rsidRPr="0099244F" w:rsidRDefault="008F04D0" w:rsidP="005422E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</w:rPr>
    </w:pPr>
  </w:p>
  <w:p w14:paraId="49DA2C4D" w14:textId="77777777" w:rsidR="005422E9" w:rsidRDefault="008F04D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5E39D0"/>
    <w:multiLevelType w:val="hybridMultilevel"/>
    <w:tmpl w:val="AEC404FA"/>
    <w:lvl w:ilvl="0" w:tplc="39EED8E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140"/>
    <w:rsid w:val="000241CD"/>
    <w:rsid w:val="000449C9"/>
    <w:rsid w:val="00113A6A"/>
    <w:rsid w:val="001D0E86"/>
    <w:rsid w:val="001F464F"/>
    <w:rsid w:val="003129AE"/>
    <w:rsid w:val="004C19FF"/>
    <w:rsid w:val="005E780B"/>
    <w:rsid w:val="00606D2C"/>
    <w:rsid w:val="00684DF6"/>
    <w:rsid w:val="007070B1"/>
    <w:rsid w:val="007426D1"/>
    <w:rsid w:val="00775573"/>
    <w:rsid w:val="00784003"/>
    <w:rsid w:val="00826B3B"/>
    <w:rsid w:val="00844EC2"/>
    <w:rsid w:val="008C1AFE"/>
    <w:rsid w:val="008C3CE9"/>
    <w:rsid w:val="008F04D0"/>
    <w:rsid w:val="00995140"/>
    <w:rsid w:val="00C371B3"/>
    <w:rsid w:val="00C40891"/>
    <w:rsid w:val="00CE7BA3"/>
    <w:rsid w:val="00D66AA5"/>
    <w:rsid w:val="00DB661D"/>
    <w:rsid w:val="00F00732"/>
    <w:rsid w:val="6524C660"/>
    <w:rsid w:val="70E17868"/>
    <w:rsid w:val="796A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8D469"/>
  <w15:chartTrackingRefBased/>
  <w15:docId w15:val="{B4EFA548-7761-4406-8EAE-F13CF141B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14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logomai,Even,h,even,Header/Footer,header odd,Hyphen,body,Chapter Name,base,Encabezado1"/>
    <w:basedOn w:val="Normal"/>
    <w:link w:val="EncabezadoCar"/>
    <w:uiPriority w:val="99"/>
    <w:unhideWhenUsed/>
    <w:qFormat/>
    <w:rsid w:val="009951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logomai Car,Even Car,h Car,even Car,Header/Footer Car,header odd Car,Hyphen Car,body Car,Chapter Name Car,base Car,Encabezado1 Car"/>
    <w:basedOn w:val="Fuentedeprrafopredeter"/>
    <w:link w:val="Encabezado"/>
    <w:uiPriority w:val="99"/>
    <w:rsid w:val="00995140"/>
  </w:style>
  <w:style w:type="paragraph" w:styleId="Piedepgina">
    <w:name w:val="footer"/>
    <w:basedOn w:val="Normal"/>
    <w:link w:val="PiedepginaCar"/>
    <w:uiPriority w:val="99"/>
    <w:unhideWhenUsed/>
    <w:rsid w:val="009951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95140"/>
  </w:style>
  <w:style w:type="paragraph" w:styleId="Textodeglobo">
    <w:name w:val="Balloon Text"/>
    <w:basedOn w:val="Normal"/>
    <w:link w:val="TextodegloboCar"/>
    <w:uiPriority w:val="99"/>
    <w:semiHidden/>
    <w:unhideWhenUsed/>
    <w:rsid w:val="00113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13A6A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3129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957</Words>
  <Characters>5269</Characters>
  <Application>Microsoft Office Word</Application>
  <DocSecurity>0</DocSecurity>
  <Lines>43</Lines>
  <Paragraphs>12</Paragraphs>
  <ScaleCrop>false</ScaleCrop>
  <Company/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Castañeda</dc:creator>
  <cp:keywords/>
  <dc:description/>
  <cp:lastModifiedBy>Felipe Alonso Creus Parrilla</cp:lastModifiedBy>
  <cp:revision>12</cp:revision>
  <dcterms:created xsi:type="dcterms:W3CDTF">2020-05-13T20:06:00Z</dcterms:created>
  <dcterms:modified xsi:type="dcterms:W3CDTF">2020-09-25T19:04:00Z</dcterms:modified>
</cp:coreProperties>
</file>